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6C" w:rsidRPr="00AA7B5D" w:rsidRDefault="00FE7C42" w:rsidP="00AA7B5D">
      <w:pPr>
        <w:jc w:val="both"/>
        <w:rPr>
          <w:rFonts w:ascii="Verdana" w:hAnsi="Verdana"/>
          <w:b/>
          <w:sz w:val="32"/>
          <w:lang w:val="ru-RU"/>
        </w:rPr>
      </w:pPr>
      <w:r w:rsidRPr="00AA7B5D">
        <w:rPr>
          <w:rFonts w:ascii="Verdana" w:hAnsi="Verdana"/>
          <w:b/>
          <w:sz w:val="32"/>
          <w:lang w:val="ru-RU"/>
        </w:rPr>
        <w:t>Кафка и его предшественники</w:t>
      </w:r>
    </w:p>
    <w:p w:rsidR="00FE7C42" w:rsidRPr="00AA7B5D" w:rsidRDefault="00FE7C42" w:rsidP="00AA7B5D">
      <w:pPr>
        <w:jc w:val="both"/>
        <w:rPr>
          <w:rFonts w:ascii="Verdana" w:hAnsi="Verdana"/>
          <w:sz w:val="24"/>
          <w:lang w:val="ru-RU"/>
        </w:rPr>
      </w:pPr>
      <w:r w:rsidRPr="00AA7B5D">
        <w:rPr>
          <w:rFonts w:ascii="Verdana" w:hAnsi="Verdana"/>
          <w:sz w:val="24"/>
          <w:lang w:val="ru-RU"/>
        </w:rPr>
        <w:t>Хорхе Луис Борхес</w:t>
      </w:r>
    </w:p>
    <w:p w:rsidR="00FE7C42" w:rsidRDefault="00FE7C42" w:rsidP="00553B6C">
      <w:pPr>
        <w:ind w:firstLine="283"/>
        <w:jc w:val="both"/>
        <w:rPr>
          <w:rFonts w:ascii="Verdana" w:hAnsi="Verdana"/>
          <w:lang w:val="en-US"/>
        </w:rPr>
      </w:pPr>
    </w:p>
    <w:p w:rsidR="00AA7B5D" w:rsidRPr="00AA7B5D" w:rsidRDefault="00AA7B5D" w:rsidP="00553B6C">
      <w:pPr>
        <w:ind w:firstLine="283"/>
        <w:jc w:val="both"/>
        <w:rPr>
          <w:rFonts w:ascii="Verdana" w:hAnsi="Verdana"/>
          <w:lang w:val="en-US"/>
        </w:rPr>
      </w:pPr>
    </w:p>
    <w:p w:rsidR="00553B6C" w:rsidRPr="00A251EA" w:rsidRDefault="00553B6C" w:rsidP="00553B6C">
      <w:pPr>
        <w:ind w:firstLine="283"/>
        <w:jc w:val="both"/>
        <w:rPr>
          <w:rFonts w:ascii="Verdana" w:hAnsi="Verdana"/>
          <w:lang w:val="ru-RU"/>
        </w:rPr>
      </w:pPr>
      <w:r w:rsidRPr="00A251EA">
        <w:rPr>
          <w:rFonts w:ascii="Verdana" w:hAnsi="Verdana"/>
          <w:lang w:val="ru-RU"/>
        </w:rPr>
        <w:t>Проследить предшественников Кафки я задумал давно. Прочитанный впервые, он был ни на кого не похож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излюбленный уникум риторических апологий; освоившись, я стал узнавать его голос, его привычки в текстах других литератур и других эпох. Приведу некоторые в хронологическом порядке.</w:t>
      </w:r>
    </w:p>
    <w:p w:rsidR="00553B6C" w:rsidRPr="00A251EA" w:rsidRDefault="00553B6C" w:rsidP="00553B6C">
      <w:pPr>
        <w:ind w:firstLine="283"/>
        <w:jc w:val="both"/>
        <w:rPr>
          <w:rFonts w:ascii="Verdana" w:hAnsi="Verdana"/>
          <w:lang w:val="ru-RU"/>
        </w:rPr>
      </w:pPr>
      <w:r w:rsidRPr="00A251EA">
        <w:rPr>
          <w:rFonts w:ascii="Verdana" w:hAnsi="Verdana"/>
          <w:lang w:val="ru-RU"/>
        </w:rPr>
        <w:t>Первый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парадокс Зенона о невозможности движения. Идущий из пункта А (утверждает Аристотель) никогда не достигнет пункта Б, поскольку сначала ему надо преодолеть половину пути между ними, но сначала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половину этой половины, а стало быть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половину теперь уже этой половины и так далее до бесконечности. Форма знаменитой задачи с точностью воспроизведена в</w:t>
      </w:r>
      <w:r>
        <w:rPr>
          <w:rFonts w:ascii="Verdana" w:hAnsi="Verdana"/>
          <w:lang w:val="ru-RU"/>
        </w:rPr>
        <w:t xml:space="preserve"> «</w:t>
      </w:r>
      <w:r w:rsidRPr="00A251EA">
        <w:rPr>
          <w:rFonts w:ascii="Verdana" w:hAnsi="Verdana"/>
          <w:lang w:val="ru-RU"/>
        </w:rPr>
        <w:t>Замке</w:t>
      </w:r>
      <w:r>
        <w:rPr>
          <w:rFonts w:ascii="Verdana" w:hAnsi="Verdana"/>
          <w:lang w:val="ru-RU"/>
        </w:rPr>
        <w:t>»;</w:t>
      </w:r>
      <w:r w:rsidRPr="00A251EA">
        <w:rPr>
          <w:rFonts w:ascii="Verdana" w:hAnsi="Verdana"/>
          <w:lang w:val="ru-RU"/>
        </w:rPr>
        <w:t xml:space="preserve"> путник, стрела и Ахилл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 xml:space="preserve">первые кафкианские персонажи в мировой литературе. Во втором тексте, подаренном мне случайно подвернувшейся книгой, дело уже не в форме, а в тоне. Речь о притче автора </w:t>
      </w:r>
      <w:r w:rsidRPr="00F02B9D">
        <w:rPr>
          <w:rFonts w:ascii="Verdana" w:hAnsi="Verdana"/>
        </w:rPr>
        <w:t>IX</w:t>
      </w:r>
      <w:r w:rsidRPr="00A251EA">
        <w:rPr>
          <w:rFonts w:ascii="Verdana" w:hAnsi="Verdana"/>
          <w:lang w:val="ru-RU"/>
        </w:rPr>
        <w:t xml:space="preserve"> века по имени Хань Юй, ее можно найти в неподражаемой</w:t>
      </w:r>
      <w:r>
        <w:rPr>
          <w:rFonts w:ascii="Verdana" w:hAnsi="Verdana"/>
          <w:lang w:val="ru-RU"/>
        </w:rPr>
        <w:t xml:space="preserve"> «</w:t>
      </w:r>
      <w:r w:rsidRPr="00F02B9D">
        <w:rPr>
          <w:rFonts w:ascii="Verdana" w:hAnsi="Verdana"/>
        </w:rPr>
        <w:t>Anthologie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raisonnee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de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la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litterature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chinoise</w:t>
      </w:r>
      <w:r>
        <w:rPr>
          <w:rFonts w:ascii="Verdana" w:hAnsi="Verdana"/>
          <w:lang w:val="ru-RU"/>
        </w:rPr>
        <w:t xml:space="preserve">» </w:t>
      </w:r>
      <w:r w:rsidRPr="00A251EA">
        <w:rPr>
          <w:rFonts w:ascii="Verdana" w:hAnsi="Verdana"/>
          <w:lang w:val="ru-RU"/>
        </w:rPr>
        <w:t>[Комментированная антология китайской литературы (фр.)] (1948), составленной Маргулье. Приведу заинтересовавший меня загадочный и бесстрастный пассаж:</w:t>
      </w:r>
      <w:r>
        <w:rPr>
          <w:rFonts w:ascii="Verdana" w:hAnsi="Verdana"/>
          <w:lang w:val="ru-RU"/>
        </w:rPr>
        <w:t xml:space="preserve"> «</w:t>
      </w:r>
      <w:r w:rsidRPr="00A251EA">
        <w:rPr>
          <w:rFonts w:ascii="Verdana" w:hAnsi="Verdana"/>
          <w:lang w:val="ru-RU"/>
        </w:rPr>
        <w:t>Всем известно, что единорог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существо иного мира и предвещает счастье,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об этом говорят оды, труды историков, биографии знаменитых мужей и другие источники, чей авторитет бесспорен. Даже дети и простолюдинки знают, что единорог сулит удачу. Но зверь этот не принадлежит к числу домашних, редко встречается и с трудом поддается описанию. Это не конь или бык, не волк или олень. И потому, оказавшись перед единорогом, мы можем его не узнать. Известно, что это животное с длинной гривой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конь, а то, с рогами,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бык. Но каков единорог, мы так и не знаем</w:t>
      </w:r>
      <w:r w:rsidR="00AA7B5D" w:rsidRPr="00AA7B5D">
        <w:rPr>
          <w:rFonts w:ascii="Verdana" w:hAnsi="Verdana"/>
          <w:lang w:val="ru-RU"/>
        </w:rPr>
        <w:t xml:space="preserve">» </w:t>
      </w:r>
      <w:r w:rsidRPr="00A251EA">
        <w:rPr>
          <w:rFonts w:ascii="Verdana" w:hAnsi="Verdana"/>
          <w:lang w:val="ru-RU"/>
        </w:rPr>
        <w:t xml:space="preserve"> </w:t>
      </w:r>
      <w:r w:rsidR="00AA7B5D">
        <w:rPr>
          <w:rFonts w:ascii="Verdana" w:hAnsi="Verdana"/>
          <w:lang w:val="ru-RU"/>
        </w:rPr>
        <w:t>[</w:t>
      </w:r>
      <w:r w:rsidRPr="00A251EA">
        <w:rPr>
          <w:rFonts w:ascii="Verdana" w:hAnsi="Verdana"/>
          <w:lang w:val="ru-RU"/>
        </w:rPr>
        <w:t>Неузнавание священного животного и его позорная или случайная гибель от руки простолюдина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традиционные темы китайской литературы. См. заключительную главу</w:t>
      </w:r>
      <w:r>
        <w:rPr>
          <w:rFonts w:ascii="Verdana" w:hAnsi="Verdana"/>
          <w:lang w:val="ru-RU"/>
        </w:rPr>
        <w:t xml:space="preserve"> «</w:t>
      </w:r>
      <w:r w:rsidRPr="00F02B9D">
        <w:rPr>
          <w:rFonts w:ascii="Verdana" w:hAnsi="Verdana"/>
        </w:rPr>
        <w:t>Psychologie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und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Alchemie</w:t>
      </w:r>
      <w:r>
        <w:rPr>
          <w:rFonts w:ascii="Verdana" w:hAnsi="Verdana"/>
          <w:lang w:val="ru-RU"/>
        </w:rPr>
        <w:t>», «</w:t>
      </w:r>
      <w:r w:rsidRPr="00A251EA">
        <w:rPr>
          <w:rFonts w:ascii="Verdana" w:hAnsi="Verdana"/>
          <w:lang w:val="ru-RU"/>
        </w:rPr>
        <w:t>Психологии и алхимии</w:t>
      </w:r>
      <w:r>
        <w:rPr>
          <w:rFonts w:ascii="Verdana" w:hAnsi="Verdana"/>
          <w:lang w:val="ru-RU"/>
        </w:rPr>
        <w:t>».</w:t>
      </w:r>
      <w:r w:rsidRPr="00A251EA">
        <w:rPr>
          <w:rFonts w:ascii="Verdana" w:hAnsi="Verdana"/>
          <w:lang w:val="ru-RU"/>
        </w:rPr>
        <w:t xml:space="preserve"> Юнга (Цюрих, 1944), где приводятся любопытные примеры. </w:t>
      </w:r>
      <w:r w:rsidR="00AA7B5D">
        <w:rPr>
          <w:rFonts w:ascii="Verdana" w:hAnsi="Verdana"/>
          <w:lang w:val="ru-RU"/>
        </w:rPr>
        <w:t>]</w:t>
      </w:r>
      <w:r w:rsidRPr="00A251EA">
        <w:rPr>
          <w:rFonts w:ascii="Verdana" w:hAnsi="Verdana"/>
          <w:lang w:val="ru-RU"/>
        </w:rPr>
        <w:t>.</w:t>
      </w:r>
    </w:p>
    <w:p w:rsidR="00553B6C" w:rsidRDefault="00553B6C" w:rsidP="00553B6C">
      <w:pPr>
        <w:ind w:firstLine="283"/>
        <w:jc w:val="both"/>
        <w:rPr>
          <w:rFonts w:ascii="Verdana" w:hAnsi="Verdana"/>
          <w:lang w:val="ru-RU"/>
        </w:rPr>
      </w:pPr>
      <w:r w:rsidRPr="00A251EA">
        <w:rPr>
          <w:rFonts w:ascii="Verdana" w:hAnsi="Verdana"/>
          <w:lang w:val="ru-RU"/>
        </w:rPr>
        <w:t>Источник третьего текста нетрудно предположить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это сочинения Кьеркегора. Духовное сродство двух авторов общепризнанно, но до сих пор, насколько я знаю, не привлек внимания один факт: изобилие у Кьеркегора и Кафки религиозных притч на материале современной обывательской жизни. Лаури в своем</w:t>
      </w:r>
      <w:r>
        <w:rPr>
          <w:rFonts w:ascii="Verdana" w:hAnsi="Verdana"/>
          <w:lang w:val="ru-RU"/>
        </w:rPr>
        <w:t xml:space="preserve"> «</w:t>
      </w:r>
      <w:r w:rsidRPr="00A251EA">
        <w:rPr>
          <w:rFonts w:ascii="Verdana" w:hAnsi="Verdana"/>
          <w:lang w:val="ru-RU"/>
        </w:rPr>
        <w:t>Кьеркегоре</w:t>
      </w:r>
      <w:r>
        <w:rPr>
          <w:rFonts w:ascii="Verdana" w:hAnsi="Verdana"/>
          <w:lang w:val="ru-RU"/>
        </w:rPr>
        <w:t xml:space="preserve">» </w:t>
      </w:r>
      <w:r w:rsidRPr="00A251EA">
        <w:rPr>
          <w:rFonts w:ascii="Verdana" w:hAnsi="Verdana"/>
          <w:lang w:val="ru-RU"/>
        </w:rPr>
        <w:t>(</w:t>
      </w:r>
      <w:r w:rsidRPr="00F02B9D">
        <w:rPr>
          <w:rFonts w:ascii="Verdana" w:hAnsi="Verdana"/>
        </w:rPr>
        <w:t>Oxford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University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Press</w:t>
      </w:r>
      <w:r w:rsidRPr="00A251EA">
        <w:rPr>
          <w:rFonts w:ascii="Verdana" w:hAnsi="Verdana"/>
          <w:lang w:val="ru-RU"/>
        </w:rPr>
        <w:t>, [Издательство Оксфордского университета (англ.)] 1938) приводит две. Первая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история о фальшивомонетчике, приговоренном, не смыкая глаз, проверять подлинность кредитных билетов Английского банка; как бы не доверяя Кьеркегору, Бог, в свою очередь, поручил ему сходную миссию, следя, способен ли он притерпеться ко злу. Сюжет второй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путешествия к Северному полюсу. Датские священники возвестили с амвонов, что подобные путешествия ведут душу к вечному спасению. Однако им пришлось признать, что путь к полюсу нелегок и на такое приключение способен не каждый. В конце концов они объявляют: любое путешествие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скажем пароходная прогулка из Дании в Лондон или воскресная поездка в церковь на извозчике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может, если посмотреть глубже, считаться истинным путешествием к Северному полюсу. Четвертое предвестье я обнаружил в стихотворении Броунинга</w:t>
      </w:r>
      <w:r>
        <w:rPr>
          <w:rFonts w:ascii="Verdana" w:hAnsi="Verdana"/>
          <w:lang w:val="ru-RU"/>
        </w:rPr>
        <w:t xml:space="preserve"> «</w:t>
      </w:r>
      <w:r w:rsidRPr="00F02B9D">
        <w:rPr>
          <w:rFonts w:ascii="Verdana" w:hAnsi="Verdana"/>
        </w:rPr>
        <w:t>Fears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aud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Scruples</w:t>
      </w:r>
      <w:r>
        <w:rPr>
          <w:rFonts w:ascii="Verdana" w:hAnsi="Verdana"/>
          <w:lang w:val="ru-RU"/>
        </w:rPr>
        <w:t>»,</w:t>
      </w:r>
      <w:r w:rsidRPr="00A251EA">
        <w:rPr>
          <w:rFonts w:ascii="Verdana" w:hAnsi="Verdana"/>
          <w:lang w:val="ru-RU"/>
        </w:rPr>
        <w:t xml:space="preserve"> [Страхи и сомнения (англ.)] опубликованном в 1876 году. У его героя есть (он так уверяет) знаменитый друг, которого он, впрочем, ни разу не видел и от чьего покровительства нет ни малейших следов; правда, тот известен многими добрыми делами и существуют его собственноручные письма к герою. Но вот дела ставят под сомнение, письма графлоги признают поддельными, и герой в последней строке спрашивает себя:</w:t>
      </w:r>
      <w:r>
        <w:rPr>
          <w:rFonts w:ascii="Verdana" w:hAnsi="Verdana"/>
          <w:lang w:val="ru-RU"/>
        </w:rPr>
        <w:t xml:space="preserve"> «</w:t>
      </w:r>
      <w:r w:rsidRPr="00A251EA">
        <w:rPr>
          <w:rFonts w:ascii="Verdana" w:hAnsi="Verdana"/>
          <w:lang w:val="ru-RU"/>
        </w:rPr>
        <w:t>А если то был Бог?</w:t>
      </w:r>
      <w:r>
        <w:rPr>
          <w:rFonts w:ascii="Verdana" w:hAnsi="Verdana"/>
          <w:lang w:val="ru-RU"/>
        </w:rPr>
        <w:t>»</w:t>
      </w:r>
    </w:p>
    <w:p w:rsidR="00553B6C" w:rsidRPr="00A251EA" w:rsidRDefault="00553B6C" w:rsidP="00553B6C">
      <w:pPr>
        <w:ind w:firstLine="283"/>
        <w:jc w:val="both"/>
        <w:rPr>
          <w:rFonts w:ascii="Verdana" w:hAnsi="Verdana"/>
          <w:lang w:val="ru-RU"/>
        </w:rPr>
      </w:pPr>
      <w:r w:rsidRPr="00A251EA">
        <w:rPr>
          <w:rFonts w:ascii="Verdana" w:hAnsi="Verdana"/>
          <w:lang w:val="ru-RU"/>
        </w:rPr>
        <w:t>Приведу еще два рассказа. Один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из</w:t>
      </w:r>
      <w:r>
        <w:rPr>
          <w:rFonts w:ascii="Verdana" w:hAnsi="Verdana"/>
          <w:lang w:val="ru-RU"/>
        </w:rPr>
        <w:t xml:space="preserve"> «</w:t>
      </w:r>
      <w:r w:rsidRPr="00F02B9D">
        <w:rPr>
          <w:rFonts w:ascii="Verdana" w:hAnsi="Verdana"/>
        </w:rPr>
        <w:t>Histoires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desobligeantes</w:t>
      </w:r>
      <w:r>
        <w:rPr>
          <w:rFonts w:ascii="Verdana" w:hAnsi="Verdana"/>
          <w:lang w:val="ru-RU"/>
        </w:rPr>
        <w:t xml:space="preserve">» </w:t>
      </w:r>
      <w:r w:rsidRPr="00A251EA">
        <w:rPr>
          <w:rFonts w:ascii="Verdana" w:hAnsi="Verdana"/>
          <w:lang w:val="ru-RU"/>
        </w:rPr>
        <w:t>[Неприятные истории (фр.)] Леона Блуа; его персонажи всю жизнь запасались глобусами, атласами, железнодорожными справочниками и чемоданами, но так никогда и не выбрались за пределы родного городка. Другой называется</w:t>
      </w:r>
      <w:r>
        <w:rPr>
          <w:rFonts w:ascii="Verdana" w:hAnsi="Verdana"/>
          <w:lang w:val="ru-RU"/>
        </w:rPr>
        <w:t xml:space="preserve"> «</w:t>
      </w:r>
      <w:r w:rsidRPr="00A251EA">
        <w:rPr>
          <w:rFonts w:ascii="Verdana" w:hAnsi="Verdana"/>
          <w:lang w:val="ru-RU"/>
        </w:rPr>
        <w:t>Каркасонн</w:t>
      </w:r>
      <w:r>
        <w:rPr>
          <w:rFonts w:ascii="Verdana" w:hAnsi="Verdana"/>
          <w:lang w:val="ru-RU"/>
        </w:rPr>
        <w:t xml:space="preserve">» </w:t>
      </w:r>
      <w:r w:rsidRPr="00A251EA">
        <w:rPr>
          <w:rFonts w:ascii="Verdana" w:hAnsi="Verdana"/>
          <w:lang w:val="ru-RU"/>
        </w:rPr>
        <w:t xml:space="preserve">и принадлежит лорду Дансени. Непобедимое войско отправляется в путь из бесконечного замка, покоряет царства, сталкивается с чудовищами, трудит пустыни и горы, так и не доходя до Каркасонна, хотя иногда видя его вдали. (Второй сюжет, </w:t>
      </w:r>
      <w:r w:rsidRPr="00A251EA">
        <w:rPr>
          <w:rFonts w:ascii="Verdana" w:hAnsi="Verdana"/>
          <w:lang w:val="ru-RU"/>
        </w:rPr>
        <w:lastRenderedPageBreak/>
        <w:t>легко заметить, просто переворачивает первый: там герои никак не покинут город, здесь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никак в него не прибудут.)</w:t>
      </w:r>
    </w:p>
    <w:p w:rsidR="00AA7B5D" w:rsidRPr="00AA7B5D" w:rsidRDefault="00553B6C" w:rsidP="00AA7B5D">
      <w:pPr>
        <w:spacing w:after="40"/>
        <w:ind w:firstLine="283"/>
        <w:jc w:val="both"/>
        <w:rPr>
          <w:rFonts w:ascii="Verdana" w:hAnsi="Verdana"/>
          <w:lang w:val="ru-RU"/>
        </w:rPr>
      </w:pPr>
      <w:r w:rsidRPr="00A251EA">
        <w:rPr>
          <w:rFonts w:ascii="Verdana" w:hAnsi="Verdana"/>
          <w:lang w:val="ru-RU"/>
        </w:rPr>
        <w:t>Если не ошибаюсь, перечисленные разрозненные тексты похожи на Кафку; если не ошибаюсь, они не во всем похожи друг на друга. Это и важно. В каждом из них есть что-то от Кафки, в одних больше, в других меньше, но не будь Кафки, мы бы не заметили сходства, а лучше сказать</w:t>
      </w:r>
      <w:r w:rsidR="007949DF">
        <w:rPr>
          <w:rFonts w:ascii="Verdana" w:hAnsi="Verdana"/>
        </w:rPr>
        <w:t xml:space="preserve"> — </w:t>
      </w:r>
      <w:r w:rsidRPr="00A251EA">
        <w:rPr>
          <w:rFonts w:ascii="Verdana" w:hAnsi="Verdana"/>
          <w:lang w:val="ru-RU"/>
        </w:rPr>
        <w:t>его бы не было. Стихотворение Броунинга</w:t>
      </w:r>
      <w:r>
        <w:rPr>
          <w:rFonts w:ascii="Verdana" w:hAnsi="Verdana"/>
          <w:lang w:val="ru-RU"/>
        </w:rPr>
        <w:t xml:space="preserve"> «</w:t>
      </w:r>
      <w:r w:rsidRPr="00F02B9D">
        <w:rPr>
          <w:rFonts w:ascii="Verdana" w:hAnsi="Verdana"/>
        </w:rPr>
        <w:t>Fears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and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Scruples</w:t>
      </w:r>
      <w:r>
        <w:rPr>
          <w:rFonts w:ascii="Verdana" w:hAnsi="Verdana"/>
          <w:lang w:val="ru-RU"/>
        </w:rPr>
        <w:t xml:space="preserve">» </w:t>
      </w:r>
      <w:r w:rsidRPr="00A251EA">
        <w:rPr>
          <w:rFonts w:ascii="Verdana" w:hAnsi="Verdana"/>
          <w:lang w:val="ru-RU"/>
        </w:rPr>
        <w:t>предвосхищает творчество Кафки, но, прочитав Кафку, мы другими глазами, гораздо глубже прочитали и сами стихи. Броунинг понимал их по-иному, чем мы сегодня. Лексикону историка литературы без слова</w:t>
      </w:r>
      <w:r>
        <w:rPr>
          <w:rFonts w:ascii="Verdana" w:hAnsi="Verdana"/>
          <w:lang w:val="ru-RU"/>
        </w:rPr>
        <w:t xml:space="preserve"> «</w:t>
      </w:r>
      <w:r w:rsidRPr="00A251EA">
        <w:rPr>
          <w:rFonts w:ascii="Verdana" w:hAnsi="Verdana"/>
          <w:lang w:val="ru-RU"/>
        </w:rPr>
        <w:t>предшественник</w:t>
      </w:r>
      <w:r>
        <w:rPr>
          <w:rFonts w:ascii="Verdana" w:hAnsi="Verdana"/>
          <w:lang w:val="ru-RU"/>
        </w:rPr>
        <w:t xml:space="preserve">» </w:t>
      </w:r>
      <w:r w:rsidRPr="00A251EA">
        <w:rPr>
          <w:rFonts w:ascii="Verdana" w:hAnsi="Verdana"/>
          <w:lang w:val="ru-RU"/>
        </w:rPr>
        <w:t>не обойтись, но пора очистить его от всякого намека на спор или соревнование. Суть в том, что каждый писатель сам создает своих предшественников. Его творчество переворачивает наши представления не т</w:t>
      </w:r>
      <w:r w:rsidR="00AA7B5D">
        <w:rPr>
          <w:rFonts w:ascii="Verdana" w:hAnsi="Verdana"/>
          <w:lang w:val="ru-RU"/>
        </w:rPr>
        <w:t>олько о будущем, но и о прошлом</w:t>
      </w:r>
      <w:r w:rsidRPr="00A251EA">
        <w:rPr>
          <w:rFonts w:ascii="Verdana" w:hAnsi="Verdana"/>
          <w:lang w:val="ru-RU"/>
        </w:rPr>
        <w:t xml:space="preserve"> </w:t>
      </w:r>
      <w:r w:rsidR="00AA7B5D">
        <w:rPr>
          <w:rFonts w:ascii="Verdana" w:hAnsi="Verdana"/>
          <w:lang w:val="ru-RU"/>
        </w:rPr>
        <w:t>[</w:t>
      </w:r>
      <w:r w:rsidRPr="00A251EA">
        <w:rPr>
          <w:rFonts w:ascii="Verdana" w:hAnsi="Verdana"/>
          <w:lang w:val="ru-RU"/>
        </w:rPr>
        <w:t>См.</w:t>
      </w:r>
      <w:r>
        <w:rPr>
          <w:rFonts w:ascii="Verdana" w:hAnsi="Verdana"/>
          <w:lang w:val="ru-RU"/>
        </w:rPr>
        <w:t xml:space="preserve"> «</w:t>
      </w:r>
      <w:r w:rsidRPr="00F02B9D">
        <w:rPr>
          <w:rFonts w:ascii="Verdana" w:hAnsi="Verdana"/>
        </w:rPr>
        <w:t>Points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of</w:t>
      </w:r>
      <w:r w:rsidRPr="00A251EA">
        <w:rPr>
          <w:rFonts w:ascii="Verdana" w:hAnsi="Verdana"/>
          <w:lang w:val="ru-RU"/>
        </w:rPr>
        <w:t xml:space="preserve"> </w:t>
      </w:r>
      <w:r w:rsidRPr="00F02B9D">
        <w:rPr>
          <w:rFonts w:ascii="Verdana" w:hAnsi="Verdana"/>
        </w:rPr>
        <w:t>View</w:t>
      </w:r>
      <w:r>
        <w:rPr>
          <w:rFonts w:ascii="Verdana" w:hAnsi="Verdana"/>
          <w:lang w:val="ru-RU"/>
        </w:rPr>
        <w:t>», «</w:t>
      </w:r>
      <w:r w:rsidRPr="00A251EA">
        <w:rPr>
          <w:rFonts w:ascii="Verdana" w:hAnsi="Verdana"/>
          <w:lang w:val="ru-RU"/>
        </w:rPr>
        <w:t>Точка зрения</w:t>
      </w:r>
      <w:r>
        <w:rPr>
          <w:rFonts w:ascii="Verdana" w:hAnsi="Verdana"/>
          <w:lang w:val="ru-RU"/>
        </w:rPr>
        <w:t>»,</w:t>
      </w:r>
      <w:r w:rsidRPr="00A251EA">
        <w:rPr>
          <w:rFonts w:ascii="Verdana" w:hAnsi="Verdana"/>
          <w:lang w:val="ru-RU"/>
        </w:rPr>
        <w:t xml:space="preserve"> Т. С. Элиота (1941). с. 2</w:t>
      </w:r>
      <w:r w:rsidR="007949DF" w:rsidRPr="00A251EA">
        <w:rPr>
          <w:rFonts w:ascii="Verdana" w:hAnsi="Verdana"/>
          <w:lang w:val="ru-RU"/>
        </w:rPr>
        <w:t>5</w:t>
      </w:r>
      <w:r w:rsidR="007949DF">
        <w:rPr>
          <w:rFonts w:ascii="Verdana" w:hAnsi="Verdana"/>
          <w:lang w:val="ru-RU"/>
        </w:rPr>
        <w:t>–</w:t>
      </w:r>
      <w:r w:rsidR="007949DF" w:rsidRPr="00A251EA">
        <w:rPr>
          <w:rFonts w:ascii="Verdana" w:hAnsi="Verdana"/>
          <w:lang w:val="ru-RU"/>
        </w:rPr>
        <w:t>2</w:t>
      </w:r>
      <w:r w:rsidRPr="00A251EA">
        <w:rPr>
          <w:rFonts w:ascii="Verdana" w:hAnsi="Verdana"/>
          <w:lang w:val="ru-RU"/>
        </w:rPr>
        <w:t xml:space="preserve">6. </w:t>
      </w:r>
      <w:r w:rsidR="00AA7B5D">
        <w:rPr>
          <w:rFonts w:ascii="Verdana" w:hAnsi="Verdana"/>
          <w:lang w:val="ru-RU"/>
        </w:rPr>
        <w:t>]</w:t>
      </w:r>
      <w:r w:rsidRPr="00A251EA">
        <w:rPr>
          <w:rFonts w:ascii="Verdana" w:hAnsi="Verdana"/>
          <w:lang w:val="ru-RU"/>
        </w:rPr>
        <w:t>. Для такой связи понятия личности или множества попросту ничего не значат. Первоначальный Кафка времен</w:t>
      </w:r>
      <w:r>
        <w:rPr>
          <w:rFonts w:ascii="Verdana" w:hAnsi="Verdana"/>
          <w:lang w:val="ru-RU"/>
        </w:rPr>
        <w:t xml:space="preserve"> «</w:t>
      </w:r>
      <w:r w:rsidRPr="00F02B9D">
        <w:rPr>
          <w:rFonts w:ascii="Verdana" w:hAnsi="Verdana"/>
        </w:rPr>
        <w:t>Betrachtung</w:t>
      </w:r>
      <w:r>
        <w:rPr>
          <w:rFonts w:ascii="Verdana" w:hAnsi="Verdana"/>
          <w:lang w:val="ru-RU"/>
        </w:rPr>
        <w:t xml:space="preserve">» </w:t>
      </w:r>
      <w:r w:rsidRPr="00A251EA">
        <w:rPr>
          <w:rFonts w:ascii="Verdana" w:hAnsi="Verdana"/>
          <w:lang w:val="ru-RU"/>
        </w:rPr>
        <w:t>[Наблюдение (нем.)] куда меньше предвещает Кафку сумрачных легенд и беспощадных контор, чем, скажем, Броунинг либо лорд Дансени.</w:t>
      </w:r>
    </w:p>
    <w:p w:rsidR="00E25515" w:rsidRPr="00AA7B5D" w:rsidRDefault="00553B6C" w:rsidP="00AA7B5D">
      <w:pPr>
        <w:ind w:firstLine="283"/>
        <w:jc w:val="both"/>
        <w:rPr>
          <w:rFonts w:ascii="Verdana" w:hAnsi="Verdana"/>
          <w:i/>
          <w:lang w:val="ru-RU"/>
        </w:rPr>
      </w:pPr>
      <w:r w:rsidRPr="00AA7B5D">
        <w:rPr>
          <w:rFonts w:ascii="Verdana" w:hAnsi="Verdana"/>
          <w:i/>
          <w:lang w:val="ru-RU"/>
        </w:rPr>
        <w:t>Буэнос-Айрес, 1951</w:t>
      </w:r>
    </w:p>
    <w:sectPr w:rsidR="00E25515" w:rsidRPr="00AA7B5D" w:rsidSect="007949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7949DF">
      <w:r>
        <w:separator/>
      </w:r>
    </w:p>
  </w:endnote>
  <w:endnote w:type="continuationSeparator" w:id="0">
    <w:p w:rsidR="00000000" w:rsidRDefault="00794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B6C" w:rsidRDefault="00553B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53B6C" w:rsidRDefault="00553B6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B6C" w:rsidRPr="007949DF" w:rsidRDefault="007949DF">
    <w:pPr>
      <w:pStyle w:val="Footer"/>
      <w:ind w:right="360"/>
      <w:rPr>
        <w:rFonts w:ascii="Arial" w:hAnsi="Arial" w:cs="Arial"/>
        <w:color w:val="999999"/>
        <w:lang w:val="ru-RU"/>
      </w:rPr>
    </w:pPr>
    <w:r w:rsidRPr="007949DF">
      <w:rPr>
        <w:rStyle w:val="PageNumber"/>
        <w:rFonts w:ascii="Arial" w:hAnsi="Arial" w:cs="Arial"/>
        <w:color w:val="999999"/>
      </w:rPr>
      <w:t>Библиотека «Артефакт» — http://artefact.lib.ru/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B6C" w:rsidRDefault="00553B6C">
    <w:pPr>
      <w:pStyle w:val="Footer"/>
      <w:rPr>
        <w:lang w:val="ru-RU"/>
      </w:rPr>
    </w:pPr>
    <w:r>
      <w:rPr>
        <w:rFonts w:ascii="Arial" w:hAnsi="Arial"/>
        <w:color w:val="808080"/>
        <w:lang w:val="ru-RU"/>
      </w:rPr>
      <w:t xml:space="preserve">Библиотека «Артефакт» 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7949DF">
      <w:r>
        <w:separator/>
      </w:r>
    </w:p>
  </w:footnote>
  <w:footnote w:type="continuationSeparator" w:id="0">
    <w:p w:rsidR="00000000" w:rsidRDefault="00794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9DF" w:rsidRDefault="007949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B6C" w:rsidRPr="007949DF" w:rsidRDefault="007949DF">
    <w:pPr>
      <w:pStyle w:val="Header"/>
      <w:rPr>
        <w:rFonts w:ascii="Arial" w:hAnsi="Arial" w:cs="Arial"/>
        <w:color w:val="999999"/>
        <w:lang w:val="ru-RU"/>
      </w:rPr>
    </w:pPr>
    <w:r w:rsidRPr="007949DF">
      <w:rPr>
        <w:rFonts w:ascii="Arial" w:hAnsi="Arial" w:cs="Arial"/>
        <w:color w:val="999999"/>
        <w:lang w:val="ru-RU"/>
      </w:rPr>
      <w:t>Библиотека «Артефакт» — http://artefact.lib.ru/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B6C" w:rsidRDefault="00553B6C">
    <w:pPr>
      <w:pStyle w:val="Header"/>
      <w:rPr>
        <w:lang w:val="ru-RU"/>
      </w:rPr>
    </w:pPr>
    <w:r>
      <w:rPr>
        <w:rFonts w:ascii="Arial" w:hAnsi="Arial" w:cs="Arial"/>
        <w:color w:val="999999"/>
        <w:lang w:val="ru-RU"/>
      </w:rPr>
      <w:t xml:space="preserve">Библиотека «Артефакт» 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80DFF"/>
    <w:multiLevelType w:val="singleLevel"/>
    <w:tmpl w:val="2B666D7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77D61416"/>
    <w:multiLevelType w:val="hybridMultilevel"/>
    <w:tmpl w:val="BD781DD8"/>
    <w:lvl w:ilvl="0" w:tplc="1C4CD89E">
      <w:numFmt w:val="bullet"/>
      <w:lvlText w:val="—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515"/>
    <w:rsid w:val="00207EB5"/>
    <w:rsid w:val="002F5271"/>
    <w:rsid w:val="00387B23"/>
    <w:rsid w:val="00553B6C"/>
    <w:rsid w:val="007949DF"/>
    <w:rsid w:val="007E3E51"/>
    <w:rsid w:val="009E21B7"/>
    <w:rsid w:val="00A251EA"/>
    <w:rsid w:val="00AA7B5D"/>
    <w:rsid w:val="00AE57E0"/>
    <w:rsid w:val="00C176B3"/>
    <w:rsid w:val="00C57422"/>
    <w:rsid w:val="00C67583"/>
    <w:rsid w:val="00C87CA8"/>
    <w:rsid w:val="00E11646"/>
    <w:rsid w:val="00E25515"/>
    <w:rsid w:val="00F02B9D"/>
    <w:rsid w:val="00FD1E6F"/>
    <w:rsid w:val="00FE7C42"/>
    <w:rsid w:val="00FF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0"/>
    </w:pPr>
    <w:rPr>
      <w:rFonts w:ascii="Verdana" w:hAnsi="Verdana"/>
      <w:b/>
      <w:bCs/>
      <w:lang w:val="ru-RU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sz w:val="24"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Pr>
      <w:rFonts w:ascii="Courier New" w:hAnsi="Courier New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firstLine="284"/>
      <w:jc w:val="both"/>
    </w:pPr>
    <w:rPr>
      <w:lang w:val="ru-RU"/>
    </w:rPr>
  </w:style>
  <w:style w:type="paragraph" w:styleId="BodyText">
    <w:name w:val="Body Text"/>
    <w:basedOn w:val="Normal"/>
    <w:pPr>
      <w:widowControl w:val="0"/>
      <w:autoSpaceDE w:val="0"/>
      <w:autoSpaceDN w:val="0"/>
      <w:adjustRightInd w:val="0"/>
      <w:jc w:val="both"/>
    </w:pPr>
    <w:rPr>
      <w:lang w:val="ru-RU"/>
    </w:rPr>
  </w:style>
  <w:style w:type="paragraph" w:styleId="BodyTextIndent">
    <w:name w:val="Body Text Indent"/>
    <w:basedOn w:val="Normal"/>
    <w:pPr>
      <w:widowControl w:val="0"/>
      <w:autoSpaceDE w:val="0"/>
      <w:autoSpaceDN w:val="0"/>
      <w:adjustRightInd w:val="0"/>
      <w:ind w:firstLine="300"/>
    </w:pPr>
    <w:rPr>
      <w:lang w:val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20" w:lineRule="auto"/>
      <w:ind w:firstLine="300"/>
      <w:jc w:val="both"/>
    </w:pPr>
    <w:rPr>
      <w:rFonts w:ascii="Arial" w:hAnsi="Arial" w:cs="Arial"/>
      <w:sz w:val="18"/>
      <w:szCs w:val="18"/>
      <w:lang w:val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40"/>
      <w:jc w:val="both"/>
    </w:pPr>
    <w:rPr>
      <w:sz w:val="12"/>
      <w:szCs w:val="1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771</Words>
  <Characters>4583</Characters>
  <Application>Microsoft Office Word</Application>
  <DocSecurity>0</DocSecurity>
  <Lines>77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Библиотека «Артефакт»</vt:lpstr>
    </vt:vector>
  </TitlesOfParts>
  <Manager>Andrey Piskunov</Manager>
  <Company>Библиотека «Артефакт»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Кафка и его предшественники</dc:title>
  <dc:subject/>
  <dc:creator>Хорхе Луис Борхес</dc:creator>
  <cp:keywords/>
  <dc:description/>
  <cp:lastModifiedBy>andrey@web-designer.ca</cp:lastModifiedBy>
  <cp:revision>2</cp:revision>
  <dcterms:created xsi:type="dcterms:W3CDTF">2018-10-26T06:49:00Z</dcterms:created>
  <dcterms:modified xsi:type="dcterms:W3CDTF">2018-10-26T06:49:00Z</dcterms:modified>
  <cp:category/>
</cp:coreProperties>
</file>